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70" w:rsidRDefault="00AE19F6" w:rsidP="00B47E70">
      <w:pPr>
        <w:spacing w:line="288" w:lineRule="auto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(Nombre organización)</w:t>
      </w:r>
      <w:r w:rsidR="00B47E70">
        <w:rPr>
          <w:rFonts w:ascii="Calibri" w:hAnsi="Calibri"/>
          <w:sz w:val="22"/>
          <w:szCs w:val="22"/>
          <w:lang w:val="es-ES"/>
        </w:rPr>
        <w:t xml:space="preserve"> solicita a la Comisión Europea que realice cambios sustanciales en los criterios propuestos para identificar los contaminantes hormonales o </w:t>
      </w:r>
      <w:proofErr w:type="spellStart"/>
      <w:r w:rsidR="00B47E70">
        <w:rPr>
          <w:rFonts w:ascii="Calibri" w:hAnsi="Calibri"/>
          <w:sz w:val="22"/>
          <w:szCs w:val="22"/>
          <w:lang w:val="es-ES"/>
        </w:rPr>
        <w:t>EDCs</w:t>
      </w:r>
      <w:proofErr w:type="spellEnd"/>
      <w:r w:rsidR="00B47E70">
        <w:rPr>
          <w:rFonts w:ascii="Calibri" w:hAnsi="Calibri"/>
          <w:sz w:val="22"/>
          <w:szCs w:val="22"/>
          <w:lang w:val="es-ES"/>
        </w:rPr>
        <w:t xml:space="preserve">. La propuesta actual no soluciona esta amenaza a la salud pública ni cumple la obligación legal de proteger la salud y el medio ambiente de la exposición a estas sustancias. Los criterios propuestos necesitan una evidencia tan elevada que solo será posible identificar un pequeño número de sustancias en contraste a las actuales listas de </w:t>
      </w:r>
      <w:proofErr w:type="spellStart"/>
      <w:r w:rsidR="00B47E70">
        <w:rPr>
          <w:rFonts w:ascii="Calibri" w:hAnsi="Calibri"/>
          <w:sz w:val="22"/>
          <w:szCs w:val="22"/>
          <w:lang w:val="es-ES"/>
        </w:rPr>
        <w:t>EDCs</w:t>
      </w:r>
      <w:proofErr w:type="spellEnd"/>
      <w:r w:rsidR="00B47E70">
        <w:rPr>
          <w:rFonts w:ascii="Calibri" w:hAnsi="Calibri"/>
          <w:sz w:val="22"/>
          <w:szCs w:val="22"/>
          <w:lang w:val="es-ES"/>
        </w:rPr>
        <w:t xml:space="preserve"> potenciales, que incluyen más de 800 sustancias. </w:t>
      </w:r>
    </w:p>
    <w:p w:rsidR="00B47E70" w:rsidRDefault="00B47E70" w:rsidP="00B47E70">
      <w:pPr>
        <w:spacing w:line="288" w:lineRule="auto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Miles de estudios científicos relacionan la exposición a </w:t>
      </w:r>
      <w:proofErr w:type="spellStart"/>
      <w:r>
        <w:rPr>
          <w:rFonts w:ascii="Calibri" w:hAnsi="Calibri"/>
          <w:sz w:val="22"/>
          <w:szCs w:val="22"/>
          <w:lang w:val="es-ES"/>
        </w:rPr>
        <w:t>EDCs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con un creciente número de cánceres hormono dependientes (mama y testículo), problemas de fertilidad, diabetes, obesidad y problemas de desarrollo infantil. La Organización Mundial de la Salud califica a los </w:t>
      </w:r>
      <w:proofErr w:type="spellStart"/>
      <w:r>
        <w:rPr>
          <w:rFonts w:ascii="Calibri" w:hAnsi="Calibri"/>
          <w:sz w:val="22"/>
          <w:szCs w:val="22"/>
          <w:lang w:val="es-ES"/>
        </w:rPr>
        <w:t>EDCs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como una </w:t>
      </w:r>
      <w:r>
        <w:rPr>
          <w:rFonts w:ascii="Calibri" w:hAnsi="Calibri"/>
          <w:b/>
          <w:sz w:val="22"/>
          <w:szCs w:val="22"/>
          <w:lang w:val="es-ES"/>
        </w:rPr>
        <w:t>“amenaza global”</w:t>
      </w:r>
      <w:r>
        <w:rPr>
          <w:rFonts w:ascii="Calibri" w:hAnsi="Calibri"/>
          <w:sz w:val="22"/>
          <w:szCs w:val="22"/>
          <w:lang w:val="es-ES"/>
        </w:rPr>
        <w:t xml:space="preserve">. Los costes sanitarios debidos a enfermedades relacionadas con la exposición a </w:t>
      </w:r>
      <w:proofErr w:type="spellStart"/>
      <w:r>
        <w:rPr>
          <w:rFonts w:ascii="Calibri" w:hAnsi="Calibri"/>
          <w:sz w:val="22"/>
          <w:szCs w:val="22"/>
          <w:lang w:val="es-ES"/>
        </w:rPr>
        <w:t>EDCs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se estiman en 158.000 millones de euros anuales en la UE.</w:t>
      </w:r>
    </w:p>
    <w:p w:rsidR="00B47E70" w:rsidRDefault="00B47E70" w:rsidP="00B47E70">
      <w:pPr>
        <w:spacing w:line="28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s-ES"/>
        </w:rPr>
        <w:t xml:space="preserve">La Comisión, ha ignorado las respuestas a la  consulta pública de 2015, que pedían un uso más efectivo de la ciencia para proteger a los seres humanos y a la naturaleza, en especial a los grupos de población más vulnerables como embarazadas, bebés y niños. En el 7º Programa de Acción Medioambiental la UE se comprometió a reducir la exposición a </w:t>
      </w:r>
      <w:proofErr w:type="spellStart"/>
      <w:r>
        <w:rPr>
          <w:rFonts w:ascii="Calibri" w:hAnsi="Calibri"/>
          <w:sz w:val="22"/>
          <w:szCs w:val="22"/>
          <w:lang w:val="es-ES"/>
        </w:rPr>
        <w:t>EDCs</w:t>
      </w:r>
      <w:proofErr w:type="spellEnd"/>
      <w:r>
        <w:rPr>
          <w:rFonts w:ascii="Calibri" w:hAnsi="Calibri"/>
          <w:sz w:val="22"/>
          <w:szCs w:val="22"/>
          <w:lang w:val="es-ES"/>
        </w:rPr>
        <w:t>, para lo que</w:t>
      </w:r>
      <w:r w:rsidR="001629A5">
        <w:rPr>
          <w:rFonts w:ascii="Calibri" w:hAnsi="Calibri"/>
          <w:sz w:val="22"/>
          <w:szCs w:val="22"/>
        </w:rPr>
        <w:t xml:space="preserve"> </w:t>
      </w:r>
      <w:proofErr w:type="spellStart"/>
      <w:r w:rsidR="001629A5">
        <w:rPr>
          <w:rFonts w:ascii="Calibri" w:hAnsi="Calibri"/>
          <w:sz w:val="22"/>
          <w:szCs w:val="22"/>
        </w:rPr>
        <w:t>deben</w:t>
      </w:r>
      <w:proofErr w:type="spellEnd"/>
      <w:r w:rsidR="001629A5">
        <w:rPr>
          <w:rFonts w:ascii="Calibri" w:hAnsi="Calibri"/>
          <w:sz w:val="22"/>
          <w:szCs w:val="22"/>
        </w:rPr>
        <w:t xml:space="preserve"> </w:t>
      </w:r>
      <w:proofErr w:type="spellStart"/>
      <w:r w:rsidR="001629A5">
        <w:rPr>
          <w:rFonts w:ascii="Calibri" w:hAnsi="Calibri"/>
          <w:sz w:val="22"/>
          <w:szCs w:val="22"/>
        </w:rPr>
        <w:t>cambiarse</w:t>
      </w:r>
      <w:proofErr w:type="spellEnd"/>
      <w:r w:rsidR="001629A5">
        <w:rPr>
          <w:rFonts w:ascii="Calibri" w:hAnsi="Calibri"/>
          <w:sz w:val="22"/>
          <w:szCs w:val="22"/>
        </w:rPr>
        <w:t xml:space="preserve"> </w:t>
      </w:r>
      <w:proofErr w:type="spellStart"/>
      <w:r w:rsidR="001629A5">
        <w:rPr>
          <w:rFonts w:ascii="Calibri" w:hAnsi="Calibri"/>
          <w:sz w:val="22"/>
          <w:szCs w:val="22"/>
        </w:rPr>
        <w:t>este</w:t>
      </w:r>
      <w:proofErr w:type="spellEnd"/>
      <w:r w:rsidR="001629A5">
        <w:rPr>
          <w:rFonts w:ascii="Calibri" w:hAnsi="Calibri"/>
          <w:sz w:val="22"/>
          <w:szCs w:val="22"/>
        </w:rPr>
        <w:t xml:space="preserve"> </w:t>
      </w:r>
      <w:proofErr w:type="spellStart"/>
      <w:r w:rsidR="001629A5">
        <w:rPr>
          <w:rFonts w:ascii="Calibri" w:hAnsi="Calibri"/>
          <w:sz w:val="22"/>
          <w:szCs w:val="22"/>
        </w:rPr>
        <w:t>aspecto</w:t>
      </w:r>
      <w:proofErr w:type="spellEnd"/>
      <w:r w:rsidR="001629A5">
        <w:rPr>
          <w:rFonts w:ascii="Calibri" w:hAnsi="Calibri"/>
          <w:sz w:val="22"/>
          <w:szCs w:val="22"/>
        </w:rPr>
        <w:t xml:space="preserve"> </w:t>
      </w:r>
      <w:proofErr w:type="spellStart"/>
      <w:r w:rsidR="001629A5">
        <w:rPr>
          <w:rFonts w:ascii="Calibri" w:hAnsi="Calibri"/>
          <w:sz w:val="22"/>
          <w:szCs w:val="22"/>
        </w:rPr>
        <w:t>importante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propuesta</w:t>
      </w:r>
      <w:proofErr w:type="spellEnd"/>
      <w:r>
        <w:rPr>
          <w:rFonts w:ascii="Calibri" w:hAnsi="Calibri"/>
          <w:sz w:val="22"/>
          <w:szCs w:val="22"/>
        </w:rPr>
        <w:t>:</w:t>
      </w:r>
    </w:p>
    <w:p w:rsidR="00B47E70" w:rsidRPr="007C4EC4" w:rsidRDefault="00B47E70" w:rsidP="00B47E70">
      <w:pPr>
        <w:pStyle w:val="Prrafodelista"/>
        <w:numPr>
          <w:ilvl w:val="0"/>
          <w:numId w:val="1"/>
        </w:numPr>
        <w:spacing w:line="288" w:lineRule="auto"/>
        <w:jc w:val="both"/>
        <w:rPr>
          <w:lang w:val="es-ES"/>
        </w:rPr>
      </w:pPr>
      <w:r w:rsidRPr="007C4EC4">
        <w:rPr>
          <w:lang w:val="es-ES"/>
        </w:rPr>
        <w:t xml:space="preserve">La Comisión propone identificar sólo los </w:t>
      </w:r>
      <w:proofErr w:type="spellStart"/>
      <w:r w:rsidRPr="007C4EC4">
        <w:rPr>
          <w:lang w:val="es-ES"/>
        </w:rPr>
        <w:t>EDCs</w:t>
      </w:r>
      <w:proofErr w:type="spellEnd"/>
      <w:r w:rsidRPr="007C4EC4">
        <w:rPr>
          <w:lang w:val="es-ES"/>
        </w:rPr>
        <w:t xml:space="preserve"> que provoquen efectos adversos “</w:t>
      </w:r>
      <w:r w:rsidRPr="007C4EC4">
        <w:rPr>
          <w:b/>
          <w:lang w:val="es-ES"/>
        </w:rPr>
        <w:t>conocidos</w:t>
      </w:r>
      <w:r w:rsidRPr="007C4EC4">
        <w:rPr>
          <w:lang w:val="es-ES"/>
        </w:rPr>
        <w:t>” en humanos y vid</w:t>
      </w:r>
      <w:bookmarkStart w:id="0" w:name="_GoBack"/>
      <w:bookmarkEnd w:id="0"/>
      <w:r w:rsidRPr="007C4EC4">
        <w:rPr>
          <w:lang w:val="es-ES"/>
        </w:rPr>
        <w:t>a silvestre. La expresión “conocido” significa tener pruebas. El hecho de pedir esas pruebas debilita la legislación actual que exige regular aquellas sustancias que “</w:t>
      </w:r>
      <w:r w:rsidRPr="007C4EC4">
        <w:rPr>
          <w:b/>
          <w:lang w:val="es-ES"/>
        </w:rPr>
        <w:t>puedan</w:t>
      </w:r>
      <w:r w:rsidRPr="007C4EC4">
        <w:rPr>
          <w:lang w:val="es-ES"/>
        </w:rPr>
        <w:t xml:space="preserve">” causar daño (como para los cancerígenos se utiliza “que puedan causar cáncer”).  Ese umbral de prueba tan elevado se opone a la opinión de los expertos sobre la probabilidad de un efecto y es inaceptable, ya que puede generar daños en humanos y medio ambiente antes de que se actúe, en contra del Principio de Precaución consagrado en los tratados de la UE. También choca con el actual enfoque de identificación y clasificación de sustancias cancerígenas y tóxicas para la reproducción, en base al nivel de evidencia. Las sustancias deben identificarse como </w:t>
      </w:r>
      <w:proofErr w:type="spellStart"/>
      <w:r w:rsidRPr="007C4EC4">
        <w:rPr>
          <w:lang w:val="es-ES"/>
        </w:rPr>
        <w:t>EDCs</w:t>
      </w:r>
      <w:proofErr w:type="spellEnd"/>
      <w:r w:rsidRPr="007C4EC4">
        <w:rPr>
          <w:lang w:val="es-ES"/>
        </w:rPr>
        <w:t xml:space="preserve"> cuando se conoce o </w:t>
      </w:r>
      <w:r w:rsidRPr="007C4EC4">
        <w:rPr>
          <w:b/>
          <w:lang w:val="es-ES"/>
        </w:rPr>
        <w:t>presume</w:t>
      </w:r>
      <w:r w:rsidRPr="007C4EC4">
        <w:rPr>
          <w:lang w:val="es-ES"/>
        </w:rPr>
        <w:t xml:space="preserve"> que tienen efectos adversos. Sólo este enfoque es consistente y coherente con la ley de </w:t>
      </w:r>
      <w:proofErr w:type="spellStart"/>
      <w:r w:rsidRPr="007C4EC4">
        <w:rPr>
          <w:lang w:val="es-ES"/>
        </w:rPr>
        <w:t>biocidas</w:t>
      </w:r>
      <w:proofErr w:type="spellEnd"/>
      <w:r w:rsidRPr="007C4EC4">
        <w:rPr>
          <w:lang w:val="es-ES"/>
        </w:rPr>
        <w:t xml:space="preserve"> que dice que no se debe permitir en el mercado </w:t>
      </w:r>
      <w:proofErr w:type="spellStart"/>
      <w:r w:rsidRPr="007C4EC4">
        <w:rPr>
          <w:lang w:val="es-ES"/>
        </w:rPr>
        <w:t>biocidas</w:t>
      </w:r>
      <w:proofErr w:type="spellEnd"/>
      <w:r w:rsidRPr="007C4EC4">
        <w:rPr>
          <w:lang w:val="es-ES"/>
        </w:rPr>
        <w:t xml:space="preserve"> si “se considera que tienen propiedades de disrupción endocrina </w:t>
      </w:r>
      <w:r w:rsidRPr="007C4EC4">
        <w:rPr>
          <w:b/>
          <w:u w:val="single"/>
          <w:lang w:val="es-ES"/>
        </w:rPr>
        <w:t>que puedan causar</w:t>
      </w:r>
      <w:r w:rsidRPr="007C4EC4">
        <w:rPr>
          <w:lang w:val="es-ES"/>
        </w:rPr>
        <w:t xml:space="preserve"> efectos adversos en humanos”. La Comisión debe actuar con el conocimiento científico existente y la mejor opción para la salud es un enfoque con 3 categorías de acuerdo al nivel de evidencia.   </w:t>
      </w:r>
    </w:p>
    <w:p w:rsidR="00B47E70" w:rsidRDefault="00B47E70" w:rsidP="00B47E70">
      <w:pPr>
        <w:spacing w:line="288" w:lineRule="auto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s-ES"/>
        </w:rPr>
        <w:t xml:space="preserve">La propuesta debe rectificarse para asegurar un alto nivel de protección para la salud y el medio ambiente, prevenir las enfermedades relacionadas con la contaminación hormonal en Europa y evitar daños a nuestros ecosistemas. Francia, Suecia y Dinamarca </w:t>
      </w:r>
      <w:hyperlink r:id="rId8">
        <w:r>
          <w:rPr>
            <w:rStyle w:val="InternetLink"/>
            <w:rFonts w:ascii="Calibri" w:hAnsi="Calibri"/>
            <w:sz w:val="22"/>
            <w:szCs w:val="22"/>
            <w:lang w:val="es-ES"/>
          </w:rPr>
          <w:t>ya han expresado su desacuerdo</w:t>
        </w:r>
      </w:hyperlink>
      <w:r>
        <w:rPr>
          <w:rFonts w:ascii="Calibri" w:hAnsi="Calibri"/>
          <w:sz w:val="22"/>
          <w:szCs w:val="22"/>
          <w:lang w:val="es-ES"/>
        </w:rPr>
        <w:t xml:space="preserve">. Los mayores expertos mundiales en </w:t>
      </w:r>
      <w:proofErr w:type="spellStart"/>
      <w:r>
        <w:rPr>
          <w:rFonts w:ascii="Calibri" w:hAnsi="Calibri"/>
          <w:sz w:val="22"/>
          <w:szCs w:val="22"/>
          <w:lang w:val="es-ES"/>
        </w:rPr>
        <w:t>EDCs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, </w:t>
      </w:r>
      <w:hyperlink r:id="rId9">
        <w:r>
          <w:rPr>
            <w:rStyle w:val="InternetLink"/>
            <w:rFonts w:ascii="Calibri" w:hAnsi="Calibri"/>
            <w:sz w:val="22"/>
            <w:szCs w:val="22"/>
            <w:lang w:val="es-ES"/>
          </w:rPr>
          <w:t xml:space="preserve">la Sociedad de Endocrinología </w:t>
        </w:r>
      </w:hyperlink>
      <w:r>
        <w:rPr>
          <w:rFonts w:ascii="Calibri" w:hAnsi="Calibri"/>
          <w:sz w:val="22"/>
          <w:szCs w:val="22"/>
          <w:lang w:val="es-ES"/>
        </w:rPr>
        <w:t xml:space="preserve"> y </w:t>
      </w:r>
      <w:hyperlink r:id="rId10">
        <w:r>
          <w:rPr>
            <w:rStyle w:val="InternetLink"/>
            <w:rFonts w:ascii="Calibri" w:hAnsi="Calibri"/>
            <w:sz w:val="22"/>
            <w:szCs w:val="22"/>
            <w:lang w:val="es-ES"/>
          </w:rPr>
          <w:t>otros científicos</w:t>
        </w:r>
      </w:hyperlink>
      <w:r>
        <w:rPr>
          <w:rFonts w:ascii="Calibri" w:hAnsi="Calibri"/>
          <w:sz w:val="22"/>
          <w:szCs w:val="22"/>
          <w:lang w:val="es-ES"/>
        </w:rPr>
        <w:t xml:space="preserve"> han criticado duramente la propuesta, de la misma manera que </w:t>
      </w:r>
      <w:hyperlink r:id="rId11">
        <w:r>
          <w:rPr>
            <w:rStyle w:val="InternetLink"/>
            <w:rFonts w:ascii="Calibri" w:hAnsi="Calibri"/>
            <w:sz w:val="22"/>
            <w:szCs w:val="22"/>
            <w:lang w:val="es-ES"/>
          </w:rPr>
          <w:t>ciertos sectores industriales</w:t>
        </w:r>
      </w:hyperlink>
      <w:r>
        <w:rPr>
          <w:rFonts w:ascii="Calibri" w:hAnsi="Calibri"/>
          <w:sz w:val="22"/>
          <w:szCs w:val="22"/>
          <w:lang w:val="es-ES"/>
        </w:rPr>
        <w:t xml:space="preserve"> creen que los criterios deberían identificar y eliminar las sustancias potencialmente perjudiciales de forma más contundente.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 xml:space="preserve">Europa debe liderar la regulación de los </w:t>
      </w:r>
      <w:proofErr w:type="spellStart"/>
      <w:r>
        <w:rPr>
          <w:rFonts w:ascii="Calibri" w:hAnsi="Calibri"/>
          <w:sz w:val="22"/>
          <w:szCs w:val="22"/>
          <w:lang w:val="es-ES"/>
        </w:rPr>
        <w:t>EDCs</w:t>
      </w:r>
      <w:proofErr w:type="spellEnd"/>
      <w:r>
        <w:rPr>
          <w:rFonts w:ascii="Calibri" w:hAnsi="Calibri"/>
          <w:sz w:val="22"/>
          <w:szCs w:val="22"/>
          <w:lang w:val="es-ES"/>
        </w:rPr>
        <w:t xml:space="preserve"> y estimular la innovación para que las industrias de los sectores implicados desarrollen y utilicen alternativas más sanas. Nuestra exposición diaria a estos químicos, en </w:t>
      </w:r>
      <w:r>
        <w:rPr>
          <w:rFonts w:ascii="Calibri" w:hAnsi="Calibri"/>
          <w:sz w:val="22"/>
          <w:szCs w:val="22"/>
          <w:lang w:val="es-ES"/>
        </w:rPr>
        <w:lastRenderedPageBreak/>
        <w:t>nuestra comida, cosméticos, casas, campos, lugares de trabajo, escuelas y hospitales debe finalizar para proteger la salud de las generaciones presentes y futuras.</w:t>
      </w:r>
    </w:p>
    <w:p w:rsidR="0062358E" w:rsidRDefault="0062358E"/>
    <w:sectPr w:rsidR="00623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28" w:rsidRDefault="00946A28" w:rsidP="00353634">
      <w:r>
        <w:separator/>
      </w:r>
    </w:p>
  </w:endnote>
  <w:endnote w:type="continuationSeparator" w:id="0">
    <w:p w:rsidR="00946A28" w:rsidRDefault="00946A28" w:rsidP="0035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28" w:rsidRDefault="00946A28" w:rsidP="00353634">
      <w:r>
        <w:separator/>
      </w:r>
    </w:p>
  </w:footnote>
  <w:footnote w:type="continuationSeparator" w:id="0">
    <w:p w:rsidR="00946A28" w:rsidRDefault="00946A28" w:rsidP="0035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B6C"/>
    <w:multiLevelType w:val="multilevel"/>
    <w:tmpl w:val="FE54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9D5D1C"/>
    <w:multiLevelType w:val="multilevel"/>
    <w:tmpl w:val="E0940FD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70"/>
    <w:rsid w:val="001629A5"/>
    <w:rsid w:val="00353634"/>
    <w:rsid w:val="0062358E"/>
    <w:rsid w:val="00946A28"/>
    <w:rsid w:val="00A73467"/>
    <w:rsid w:val="00AE19F6"/>
    <w:rsid w:val="00B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B47E70"/>
    <w:rPr>
      <w:rFonts w:cs="Times New Roman"/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B47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53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34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353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34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B47E70"/>
    <w:rPr>
      <w:rFonts w:cs="Times New Roman"/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B47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536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34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3536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34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ringen.se/globalassets/regeringen/dokument/miljo--och-energidepartementet/pdf/vytenisandriukaiti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oup.skanska.com/media/articles/stronger-eu-chemical-criteria-need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yfromscience.com/open-letter-to-eu-commission-about-proposed-edc-criter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ocrine.org/news-room/current-press-releases/european-commissions-overreaching-decision-fails-to-protect-public-heal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4</cp:revision>
  <dcterms:created xsi:type="dcterms:W3CDTF">2016-07-20T10:47:00Z</dcterms:created>
  <dcterms:modified xsi:type="dcterms:W3CDTF">2016-07-20T11:59:00Z</dcterms:modified>
</cp:coreProperties>
</file>